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9" w:rsidRDefault="000B17FA">
      <w:r>
        <w:rPr>
          <w:noProof/>
          <w:lang w:eastAsia="hr-HR"/>
        </w:rPr>
        <w:drawing>
          <wp:inline distT="0" distB="0" distL="0" distR="0" wp14:anchorId="3E528684" wp14:editId="7EFF56AF">
            <wp:extent cx="2241550" cy="130746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FA" w:rsidRDefault="000B17FA">
      <w:pPr>
        <w:rPr>
          <w:sz w:val="28"/>
        </w:rPr>
      </w:pPr>
      <w:r w:rsidRPr="000B17FA">
        <w:rPr>
          <w:sz w:val="28"/>
        </w:rPr>
        <w:t>COVID-19 zajam za obrtna sredstva</w:t>
      </w:r>
    </w:p>
    <w:p w:rsidR="00631330" w:rsidRDefault="00631330" w:rsidP="000B17FA">
      <w:pPr>
        <w:jc w:val="both"/>
        <w:rPr>
          <w:sz w:val="24"/>
        </w:rPr>
      </w:pPr>
    </w:p>
    <w:p w:rsidR="000B17FA" w:rsidRDefault="000B17FA" w:rsidP="000B17FA">
      <w:pPr>
        <w:jc w:val="both"/>
        <w:rPr>
          <w:sz w:val="24"/>
        </w:rPr>
      </w:pPr>
      <w:r w:rsidRPr="000B17FA">
        <w:rPr>
          <w:sz w:val="24"/>
        </w:rPr>
        <w:t>Financijski instrument „COVID-19 zajam za obrtna sredstva“</w:t>
      </w:r>
      <w:r>
        <w:rPr>
          <w:sz w:val="24"/>
        </w:rPr>
        <w:t xml:space="preserve"> namijenjen je subjektima malog </w:t>
      </w:r>
      <w:r w:rsidRPr="000B17FA">
        <w:rPr>
          <w:sz w:val="24"/>
        </w:rPr>
        <w:t xml:space="preserve">gospodarstva koji su pogođeni </w:t>
      </w:r>
      <w:proofErr w:type="spellStart"/>
      <w:r w:rsidRPr="000B17FA">
        <w:rPr>
          <w:sz w:val="24"/>
        </w:rPr>
        <w:t>pandemijom</w:t>
      </w:r>
      <w:proofErr w:type="spellEnd"/>
      <w:r w:rsidRPr="000B17FA">
        <w:rPr>
          <w:sz w:val="24"/>
        </w:rPr>
        <w:t xml:space="preserve"> korona virusa, a isti je u cijelosti financiran iz sredstava</w:t>
      </w:r>
      <w:r>
        <w:rPr>
          <w:sz w:val="24"/>
        </w:rPr>
        <w:t xml:space="preserve"> </w:t>
      </w:r>
      <w:r w:rsidRPr="000B17FA">
        <w:rPr>
          <w:sz w:val="24"/>
        </w:rPr>
        <w:t>Europskog fonda za regionalni razvoj. U okviru ovog Financijskog instrumenta HAMAG-BICRO će</w:t>
      </w:r>
      <w:r>
        <w:rPr>
          <w:sz w:val="24"/>
        </w:rPr>
        <w:t xml:space="preserve"> </w:t>
      </w:r>
      <w:r w:rsidRPr="000B17FA">
        <w:rPr>
          <w:sz w:val="24"/>
        </w:rPr>
        <w:t>mikro, malim i srednjim subjektima malog gospodarstva izravno odobravati zajmove za obrtna sredstva</w:t>
      </w:r>
      <w:r>
        <w:rPr>
          <w:sz w:val="24"/>
        </w:rPr>
        <w:t>.</w:t>
      </w:r>
    </w:p>
    <w:p w:rsidR="000B17FA" w:rsidRPr="00576632" w:rsidRDefault="000B17FA" w:rsidP="00576632">
      <w:pPr>
        <w:jc w:val="both"/>
        <w:rPr>
          <w:sz w:val="24"/>
        </w:rPr>
      </w:pPr>
      <w:r w:rsidRPr="00576632">
        <w:rPr>
          <w:sz w:val="24"/>
        </w:rPr>
        <w:t>CILJ FINANCIJSKOG INSTRUMENTA</w:t>
      </w:r>
    </w:p>
    <w:p w:rsidR="000B17FA" w:rsidRPr="000B17FA" w:rsidRDefault="000B17FA" w:rsidP="000B17FA">
      <w:pPr>
        <w:jc w:val="both"/>
        <w:rPr>
          <w:sz w:val="24"/>
        </w:rPr>
      </w:pPr>
      <w:r w:rsidRPr="000B17FA">
        <w:rPr>
          <w:sz w:val="24"/>
        </w:rPr>
        <w:t>Cilj Financijskog instrumenta je osigurati dodatnu likvidnost mikro, malim i srednjim subjektima malog</w:t>
      </w:r>
      <w:r>
        <w:rPr>
          <w:sz w:val="24"/>
        </w:rPr>
        <w:t xml:space="preserve"> </w:t>
      </w:r>
      <w:r w:rsidRPr="000B17FA">
        <w:rPr>
          <w:sz w:val="24"/>
        </w:rPr>
        <w:t>gospodarstva uz smanjenje kamatne stope i smanjenje razine potrebnih sredstava osiguranja. Program</w:t>
      </w:r>
      <w:r>
        <w:rPr>
          <w:sz w:val="24"/>
        </w:rPr>
        <w:t xml:space="preserve"> </w:t>
      </w:r>
      <w:r w:rsidRPr="000B17FA">
        <w:rPr>
          <w:sz w:val="24"/>
        </w:rPr>
        <w:t>je usmjeren na mikro, mala i srednja poduzeća koja su aktivno poslovala najmanje 3 mjeseca u 2019.</w:t>
      </w:r>
      <w:r>
        <w:rPr>
          <w:sz w:val="24"/>
        </w:rPr>
        <w:t xml:space="preserve"> </w:t>
      </w:r>
      <w:r w:rsidRPr="000B17FA">
        <w:rPr>
          <w:sz w:val="24"/>
        </w:rPr>
        <w:t>godini, a koja su:</w:t>
      </w:r>
    </w:p>
    <w:p w:rsidR="000B17FA" w:rsidRPr="00576632" w:rsidRDefault="000B17FA" w:rsidP="00576632">
      <w:pPr>
        <w:jc w:val="both"/>
        <w:rPr>
          <w:sz w:val="24"/>
        </w:rPr>
      </w:pPr>
      <w:r w:rsidRPr="00576632">
        <w:rPr>
          <w:sz w:val="24"/>
        </w:rPr>
        <w:t>- zatvorena Odlukom Stožera civilne zaštite Republike Hrvatske od 27. studenoga 2020. godine</w:t>
      </w:r>
    </w:p>
    <w:p w:rsidR="000B17FA" w:rsidRDefault="000B17FA" w:rsidP="00576632">
      <w:pPr>
        <w:jc w:val="both"/>
        <w:rPr>
          <w:sz w:val="24"/>
        </w:rPr>
      </w:pPr>
      <w:r w:rsidRPr="00576632">
        <w:rPr>
          <w:sz w:val="24"/>
        </w:rPr>
        <w:t>- u 2020. godini ostvarila pad prihoda od 60 % i više u odnosu na 2019. godinu.</w:t>
      </w:r>
    </w:p>
    <w:p w:rsidR="00576632" w:rsidRDefault="00576632" w:rsidP="00576632">
      <w:pPr>
        <w:jc w:val="both"/>
        <w:rPr>
          <w:sz w:val="24"/>
        </w:rPr>
      </w:pPr>
    </w:p>
    <w:p w:rsidR="00576632" w:rsidRPr="00576632" w:rsidRDefault="00576632" w:rsidP="00576632">
      <w:pPr>
        <w:jc w:val="both"/>
        <w:rPr>
          <w:sz w:val="24"/>
        </w:rPr>
      </w:pPr>
      <w:r w:rsidRPr="00576632">
        <w:rPr>
          <w:sz w:val="24"/>
        </w:rPr>
        <w:t>KRITERIJI PRIHVATLJIVOSTI KRAJNJIH KORISNIKA</w:t>
      </w:r>
    </w:p>
    <w:p w:rsidR="00576632" w:rsidRPr="00576632" w:rsidRDefault="00576632" w:rsidP="00576632">
      <w:pPr>
        <w:jc w:val="both"/>
        <w:rPr>
          <w:sz w:val="24"/>
        </w:rPr>
      </w:pPr>
      <w:r w:rsidRPr="00576632">
        <w:rPr>
          <w:sz w:val="24"/>
        </w:rPr>
        <w:t>U trenutku prijave za zajam prihvatljivi krajnji korisnici moraju ispunjavati sljedeće kriterije:</w:t>
      </w:r>
    </w:p>
    <w:p w:rsidR="00576632" w:rsidRPr="00576632" w:rsidRDefault="00576632" w:rsidP="00576632">
      <w:pPr>
        <w:jc w:val="both"/>
        <w:rPr>
          <w:sz w:val="24"/>
        </w:rPr>
      </w:pPr>
      <w:r w:rsidRPr="00576632">
        <w:rPr>
          <w:sz w:val="24"/>
        </w:rPr>
        <w:t>1) imaju status „subjekta malog gospodarstva“ kako su definiran</w:t>
      </w:r>
      <w:r>
        <w:rPr>
          <w:sz w:val="24"/>
        </w:rPr>
        <w:t xml:space="preserve">i u članku 1. Priloga Preporuci </w:t>
      </w:r>
      <w:r w:rsidRPr="00576632">
        <w:rPr>
          <w:sz w:val="24"/>
        </w:rPr>
        <w:t>Europske komisije 2003/361/EZ, odnosno zadovoljavaju sljedeće kriterije:</w:t>
      </w:r>
    </w:p>
    <w:p w:rsidR="00576632" w:rsidRPr="00576632" w:rsidRDefault="00576632" w:rsidP="00576632">
      <w:pPr>
        <w:jc w:val="both"/>
        <w:rPr>
          <w:sz w:val="24"/>
        </w:rPr>
      </w:pPr>
      <w:r w:rsidRPr="00576632">
        <w:rPr>
          <w:sz w:val="24"/>
        </w:rPr>
        <w:t>a) po veličini su mikro, mali ili srednji poduzetnici</w:t>
      </w:r>
    </w:p>
    <w:p w:rsidR="00576632" w:rsidRPr="00576632" w:rsidRDefault="00576632" w:rsidP="00576632">
      <w:pPr>
        <w:jc w:val="both"/>
        <w:rPr>
          <w:sz w:val="24"/>
        </w:rPr>
      </w:pPr>
      <w:r w:rsidRPr="00576632">
        <w:rPr>
          <w:sz w:val="24"/>
        </w:rPr>
        <w:t>b) ostvaraju dobit, odnosno registrirani su kao:</w:t>
      </w:r>
    </w:p>
    <w:p w:rsidR="00576632" w:rsidRPr="00631330" w:rsidRDefault="00576632" w:rsidP="00631330">
      <w:pPr>
        <w:jc w:val="both"/>
        <w:rPr>
          <w:sz w:val="24"/>
        </w:rPr>
      </w:pPr>
      <w:r w:rsidRPr="00631330">
        <w:rPr>
          <w:sz w:val="24"/>
        </w:rPr>
        <w:t>i) trgovačko društvo ili obrti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proofErr w:type="spellStart"/>
      <w:r w:rsidRPr="00576632">
        <w:rPr>
          <w:sz w:val="24"/>
        </w:rPr>
        <w:t>ii</w:t>
      </w:r>
      <w:proofErr w:type="spellEnd"/>
      <w:r w:rsidRPr="00576632">
        <w:rPr>
          <w:sz w:val="24"/>
        </w:rPr>
        <w:t>) fizička osoba koja obavlja djelatnosti slobodnih zanimanja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proofErr w:type="spellStart"/>
      <w:r w:rsidRPr="00576632">
        <w:rPr>
          <w:sz w:val="24"/>
        </w:rPr>
        <w:lastRenderedPageBreak/>
        <w:t>iii</w:t>
      </w:r>
      <w:proofErr w:type="spellEnd"/>
      <w:r w:rsidRPr="00576632">
        <w:rPr>
          <w:sz w:val="24"/>
        </w:rPr>
        <w:t xml:space="preserve">) ustanova, zadruga ili drugi slični subjekt koji obavlja </w:t>
      </w:r>
      <w:r w:rsidRPr="00576632">
        <w:rPr>
          <w:sz w:val="24"/>
        </w:rPr>
        <w:t xml:space="preserve">gospodarsku djelatnosti u cilju </w:t>
      </w:r>
      <w:r w:rsidRPr="00576632">
        <w:rPr>
          <w:sz w:val="24"/>
        </w:rPr>
        <w:t>stjecanja dobiti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2) imaju više od 50% privatnog vlasništva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3) nemaju žiro-račun neprekidno blokiran dulje od 45 dana u posljednjih 6 mjeseci,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4) nisu društvo u teškoćama kako je definirano pravilima o državnim potporama, što uključuje da: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 xml:space="preserve">a) za njih nije podnesen prijedlog za otvaranje </w:t>
      </w:r>
      <w:proofErr w:type="spellStart"/>
      <w:r w:rsidRPr="00576632">
        <w:rPr>
          <w:sz w:val="24"/>
        </w:rPr>
        <w:t>predstečajnog</w:t>
      </w:r>
      <w:proofErr w:type="spellEnd"/>
      <w:r w:rsidRPr="00576632">
        <w:rPr>
          <w:sz w:val="24"/>
        </w:rPr>
        <w:t xml:space="preserve"> ili stečajnog postupka;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b) za njih nije donesena odluka o pokretanju postupka prisilne likvidacije ili odluka o poništenju</w:t>
      </w:r>
      <w:r w:rsidRPr="00576632">
        <w:rPr>
          <w:sz w:val="24"/>
        </w:rPr>
        <w:t xml:space="preserve"> </w:t>
      </w:r>
      <w:r w:rsidRPr="00576632">
        <w:rPr>
          <w:sz w:val="24"/>
        </w:rPr>
        <w:t>ili ukidanju rješenja kojim im je dano odobrenje za rad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5) imaju minimalno jednog zaposlenog na puno radno vrijeme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 xml:space="preserve">6) uredno podmiruju postojeća zaduženja odnosno ne </w:t>
      </w:r>
      <w:r w:rsidRPr="00576632">
        <w:rPr>
          <w:sz w:val="24"/>
        </w:rPr>
        <w:t xml:space="preserve">smiju kasniti u plaćanju ili ne </w:t>
      </w:r>
      <w:r w:rsidRPr="00576632">
        <w:rPr>
          <w:sz w:val="24"/>
        </w:rPr>
        <w:t>ispunjavati obvezu</w:t>
      </w:r>
      <w:r w:rsidRPr="00576632">
        <w:rPr>
          <w:sz w:val="24"/>
        </w:rPr>
        <w:t xml:space="preserve"> </w:t>
      </w:r>
      <w:r w:rsidRPr="00576632">
        <w:rPr>
          <w:sz w:val="24"/>
        </w:rPr>
        <w:t>plaćanja bilo kojeg drugog kredita/</w:t>
      </w:r>
      <w:proofErr w:type="spellStart"/>
      <w:r w:rsidRPr="00576632">
        <w:rPr>
          <w:sz w:val="24"/>
        </w:rPr>
        <w:t>leasinga</w:t>
      </w:r>
      <w:proofErr w:type="spellEnd"/>
      <w:r w:rsidRPr="00576632">
        <w:rPr>
          <w:sz w:val="24"/>
        </w:rPr>
        <w:t>/zajma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7) nema ranije odobren COVID-19 zajam za obrtna sredstva</w:t>
      </w:r>
    </w:p>
    <w:p w:rsidR="00576632" w:rsidRDefault="00576632" w:rsidP="00576632">
      <w:pPr>
        <w:pStyle w:val="Odlomakpopisa"/>
        <w:spacing w:line="360" w:lineRule="auto"/>
        <w:jc w:val="both"/>
        <w:rPr>
          <w:sz w:val="24"/>
        </w:rPr>
      </w:pP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NEPRIHVATLJIVE DJELATNOSTI KRAJNJIH KORISNIKA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Krajnji korisnici čija je osnovna djelatnost i/ili djelatnost ulaganja iz jednog od sljedećih područja,</w:t>
      </w:r>
      <w:r w:rsidRPr="00576632">
        <w:rPr>
          <w:sz w:val="24"/>
        </w:rPr>
        <w:t xml:space="preserve"> </w:t>
      </w:r>
      <w:r w:rsidRPr="00576632">
        <w:rPr>
          <w:sz w:val="24"/>
        </w:rPr>
        <w:t>nisu prihvatljivi za financiranje: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a) Sektori isključeni člankom 1. Uredbe o potporama male vrijednosti: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 xml:space="preserve">- Ribarstvo i </w:t>
      </w:r>
      <w:proofErr w:type="spellStart"/>
      <w:r w:rsidRPr="00576632">
        <w:rPr>
          <w:sz w:val="24"/>
        </w:rPr>
        <w:t>akvakultura</w:t>
      </w:r>
      <w:proofErr w:type="spellEnd"/>
      <w:r w:rsidRPr="00576632">
        <w:rPr>
          <w:sz w:val="24"/>
        </w:rPr>
        <w:t xml:space="preserve"> (proizvodnja, prerada i stavljanje n</w:t>
      </w:r>
      <w:r w:rsidRPr="00576632">
        <w:rPr>
          <w:sz w:val="24"/>
        </w:rPr>
        <w:t xml:space="preserve">a tržište proizvoda ribarstva i </w:t>
      </w:r>
      <w:proofErr w:type="spellStart"/>
      <w:r w:rsidRPr="00576632">
        <w:rPr>
          <w:sz w:val="24"/>
        </w:rPr>
        <w:t>akvakulture</w:t>
      </w:r>
      <w:proofErr w:type="spellEnd"/>
      <w:r w:rsidRPr="00576632">
        <w:rPr>
          <w:sz w:val="24"/>
        </w:rPr>
        <w:t>),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- Primarna poljoprivredna proizvodnja (proizvodnja proizvoda iz tla ili stočarstva bez obavljanja</w:t>
      </w:r>
      <w:r w:rsidRPr="00576632">
        <w:rPr>
          <w:sz w:val="24"/>
        </w:rPr>
        <w:t xml:space="preserve"> </w:t>
      </w:r>
      <w:r w:rsidRPr="00576632">
        <w:rPr>
          <w:sz w:val="24"/>
        </w:rPr>
        <w:t>dodatnih radnji kojima bi se promijenila priroda tih proizvoda);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576632">
        <w:rPr>
          <w:sz w:val="24"/>
        </w:rPr>
        <w:t>b) Duhan i destilirana alkoholna pića. Proizvodnja duhana i destiliranih alkoholnih pića te</w:t>
      </w:r>
      <w:r w:rsidRPr="00576632">
        <w:rPr>
          <w:sz w:val="24"/>
        </w:rPr>
        <w:t xml:space="preserve"> </w:t>
      </w:r>
      <w:r w:rsidRPr="00576632">
        <w:rPr>
          <w:sz w:val="24"/>
        </w:rPr>
        <w:t>povezanih proizvoda i trgovina njima;</w:t>
      </w:r>
    </w:p>
    <w:p w:rsid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lastRenderedPageBreak/>
        <w:t>c) Proizvodnja oružja i streljiva te trgovina njima: financiranje proizvodnje bilo koje vrste oružja</w:t>
      </w:r>
      <w:r w:rsidRPr="00576632">
        <w:rPr>
          <w:sz w:val="24"/>
        </w:rPr>
        <w:t xml:space="preserve"> </w:t>
      </w:r>
      <w:r w:rsidRPr="00576632">
        <w:rPr>
          <w:sz w:val="24"/>
        </w:rPr>
        <w:t>i streljiva te trgovine njima. To se ograničenje ne primjenjuje u mjeri u kojoj su te aktivnosti dio</w:t>
      </w:r>
      <w:r w:rsidRPr="00576632">
        <w:rPr>
          <w:sz w:val="24"/>
        </w:rPr>
        <w:t xml:space="preserve"> </w:t>
      </w:r>
      <w:r w:rsidRPr="00576632">
        <w:rPr>
          <w:sz w:val="24"/>
        </w:rPr>
        <w:t>jasnih politika Europske unije ili su povezane s njima;</w:t>
      </w:r>
    </w:p>
    <w:p w:rsidR="00576632" w:rsidRP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d) Kasina i istovjetna poduzeća;</w:t>
      </w:r>
    </w:p>
    <w:p w:rsidR="00576632" w:rsidRDefault="00576632" w:rsidP="00576632">
      <w:pPr>
        <w:spacing w:line="360" w:lineRule="auto"/>
        <w:jc w:val="both"/>
        <w:rPr>
          <w:sz w:val="24"/>
        </w:rPr>
      </w:pPr>
      <w:r w:rsidRPr="00576632">
        <w:rPr>
          <w:sz w:val="24"/>
        </w:rPr>
        <w:t>f) Ograničenja informatičkog sektora: istraživanje, razvoj ili tehničke aplikacije povezane s</w:t>
      </w:r>
      <w:r w:rsidRPr="00576632">
        <w:rPr>
          <w:sz w:val="24"/>
        </w:rPr>
        <w:t xml:space="preserve"> </w:t>
      </w:r>
      <w:r w:rsidRPr="00576632">
        <w:rPr>
          <w:sz w:val="24"/>
        </w:rPr>
        <w:t>elektroničkim podatkovnim programima ili rješenjima</w:t>
      </w:r>
    </w:p>
    <w:p w:rsidR="00631330" w:rsidRDefault="00631330" w:rsidP="00631330">
      <w:pPr>
        <w:spacing w:line="360" w:lineRule="auto"/>
        <w:jc w:val="both"/>
        <w:rPr>
          <w:sz w:val="24"/>
        </w:rPr>
      </w:pPr>
      <w:r w:rsidRPr="00631330">
        <w:rPr>
          <w:sz w:val="24"/>
        </w:rPr>
        <w:t>Dozvoljeno je odobrenje COVID-19 zajma, neovisno o ran</w:t>
      </w:r>
      <w:r>
        <w:rPr>
          <w:sz w:val="24"/>
        </w:rPr>
        <w:t xml:space="preserve">ije odobrenim ESIF financijskim </w:t>
      </w:r>
      <w:r w:rsidRPr="00631330">
        <w:rPr>
          <w:sz w:val="24"/>
        </w:rPr>
        <w:t>instrumentima (Mikro zajam za obrtna sredstva ili investicijski zajam, Mali investicijski zajam,</w:t>
      </w:r>
      <w:r>
        <w:rPr>
          <w:sz w:val="24"/>
        </w:rPr>
        <w:t xml:space="preserve"> </w:t>
      </w:r>
      <w:r w:rsidRPr="00631330">
        <w:rPr>
          <w:sz w:val="24"/>
        </w:rPr>
        <w:t xml:space="preserve">Pojedinačno ili Ograničeno </w:t>
      </w:r>
      <w:proofErr w:type="spellStart"/>
      <w:r w:rsidRPr="00631330">
        <w:rPr>
          <w:sz w:val="24"/>
        </w:rPr>
        <w:t>portfeljno</w:t>
      </w:r>
      <w:proofErr w:type="spellEnd"/>
      <w:r w:rsidRPr="00631330">
        <w:rPr>
          <w:sz w:val="24"/>
        </w:rPr>
        <w:t xml:space="preserve"> jamstvo), ali ne za iste prihvatljive troškove. Prijava za drugi</w:t>
      </w:r>
      <w:r>
        <w:rPr>
          <w:sz w:val="24"/>
        </w:rPr>
        <w:t xml:space="preserve"> </w:t>
      </w:r>
      <w:r w:rsidRPr="00631330">
        <w:rPr>
          <w:sz w:val="24"/>
        </w:rPr>
        <w:t>ESIF zajam (Mikro investicijski zajam ili zajam za obrtna sredstva te Mali investicijski zajam) moguća</w:t>
      </w:r>
      <w:r>
        <w:rPr>
          <w:sz w:val="24"/>
        </w:rPr>
        <w:t xml:space="preserve"> </w:t>
      </w:r>
      <w:r w:rsidRPr="00631330">
        <w:rPr>
          <w:sz w:val="24"/>
        </w:rPr>
        <w:t>je po proteku 6 mjeseci od odobrenja zahtjeva za COVID-19 zaj</w:t>
      </w:r>
      <w:r>
        <w:rPr>
          <w:sz w:val="24"/>
        </w:rPr>
        <w:t xml:space="preserve">am, sukladno važećim Programima </w:t>
      </w:r>
      <w:r w:rsidRPr="00631330">
        <w:rPr>
          <w:sz w:val="24"/>
        </w:rPr>
        <w:t>HAMAG-BICRO-a.</w:t>
      </w:r>
    </w:p>
    <w:p w:rsidR="00631330" w:rsidRDefault="00631330" w:rsidP="00631330">
      <w:pPr>
        <w:spacing w:line="360" w:lineRule="auto"/>
        <w:jc w:val="both"/>
        <w:rPr>
          <w:sz w:val="24"/>
        </w:rPr>
      </w:pPr>
      <w:r>
        <w:rPr>
          <w:sz w:val="24"/>
        </w:rPr>
        <w:t>IZNOS, KAMATA, ROK KORIŠTENJA</w:t>
      </w:r>
    </w:p>
    <w:p w:rsidR="00631330" w:rsidRPr="00631330" w:rsidRDefault="00631330" w:rsidP="00631330">
      <w:pPr>
        <w:spacing w:line="360" w:lineRule="auto"/>
        <w:jc w:val="both"/>
        <w:rPr>
          <w:sz w:val="24"/>
        </w:rPr>
      </w:pPr>
      <w:r w:rsidRPr="00631330">
        <w:rPr>
          <w:sz w:val="24"/>
        </w:rPr>
        <w:t>Iznos</w:t>
      </w:r>
      <w:r>
        <w:rPr>
          <w:sz w:val="24"/>
        </w:rPr>
        <w:t>:</w:t>
      </w:r>
      <w:r w:rsidRPr="00631330">
        <w:rPr>
          <w:sz w:val="24"/>
        </w:rPr>
        <w:t xml:space="preserve"> Do 380.000,00 kuna</w:t>
      </w:r>
    </w:p>
    <w:p w:rsidR="00631330" w:rsidRPr="00631330" w:rsidRDefault="00631330" w:rsidP="00631330">
      <w:pPr>
        <w:spacing w:line="360" w:lineRule="auto"/>
        <w:jc w:val="both"/>
        <w:rPr>
          <w:sz w:val="24"/>
        </w:rPr>
      </w:pPr>
      <w:r w:rsidRPr="00631330">
        <w:rPr>
          <w:sz w:val="24"/>
        </w:rPr>
        <w:t>Kamatna stopa</w:t>
      </w:r>
      <w:r>
        <w:rPr>
          <w:sz w:val="24"/>
        </w:rPr>
        <w:t>:</w:t>
      </w:r>
      <w:r w:rsidRPr="00631330">
        <w:rPr>
          <w:sz w:val="24"/>
        </w:rPr>
        <w:t xml:space="preserve"> 0,25% fiksna za cijeli period otplate zajma</w:t>
      </w:r>
    </w:p>
    <w:p w:rsidR="00631330" w:rsidRDefault="00631330" w:rsidP="00631330">
      <w:pPr>
        <w:spacing w:line="360" w:lineRule="auto"/>
        <w:jc w:val="both"/>
        <w:rPr>
          <w:sz w:val="24"/>
        </w:rPr>
      </w:pPr>
      <w:r w:rsidRPr="00631330">
        <w:rPr>
          <w:sz w:val="24"/>
        </w:rPr>
        <w:t>Rok korištenja</w:t>
      </w:r>
      <w:r>
        <w:rPr>
          <w:sz w:val="24"/>
        </w:rPr>
        <w:t>:</w:t>
      </w:r>
      <w:r w:rsidRPr="00631330">
        <w:rPr>
          <w:sz w:val="24"/>
        </w:rPr>
        <w:t xml:space="preserve"> 6 mjeseci</w:t>
      </w:r>
    </w:p>
    <w:p w:rsidR="00631330" w:rsidRPr="00631330" w:rsidRDefault="00631330" w:rsidP="00631330">
      <w:pPr>
        <w:spacing w:line="360" w:lineRule="auto"/>
        <w:jc w:val="both"/>
        <w:rPr>
          <w:sz w:val="24"/>
          <w:u w:val="single"/>
        </w:rPr>
      </w:pPr>
      <w:r w:rsidRPr="00631330">
        <w:rPr>
          <w:sz w:val="24"/>
          <w:u w:val="single"/>
        </w:rPr>
        <w:t>ZAHTJEVI SE ZAPRIMAJU OD 09.12.2020. od 08:00 sati isključivo putem sustava za on-</w:t>
      </w:r>
      <w:proofErr w:type="spellStart"/>
      <w:r w:rsidRPr="00631330">
        <w:rPr>
          <w:sz w:val="24"/>
          <w:u w:val="single"/>
        </w:rPr>
        <w:t>line</w:t>
      </w:r>
      <w:proofErr w:type="spellEnd"/>
      <w:r w:rsidRPr="00631330">
        <w:rPr>
          <w:sz w:val="24"/>
          <w:u w:val="single"/>
        </w:rPr>
        <w:t xml:space="preserve"> prijavu</w:t>
      </w:r>
      <w:r>
        <w:rPr>
          <w:sz w:val="24"/>
          <w:u w:val="single"/>
        </w:rPr>
        <w:t>.</w:t>
      </w:r>
      <w:bookmarkStart w:id="0" w:name="_GoBack"/>
      <w:bookmarkEnd w:id="0"/>
    </w:p>
    <w:sectPr w:rsidR="00631330" w:rsidRPr="006313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B58"/>
    <w:multiLevelType w:val="hybridMultilevel"/>
    <w:tmpl w:val="DBE0C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A"/>
    <w:rsid w:val="000B17FA"/>
    <w:rsid w:val="001369A9"/>
    <w:rsid w:val="00576632"/>
    <w:rsid w:val="00631330"/>
    <w:rsid w:val="007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712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7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B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712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7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B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2020-12-09T07:00:00Z</dcterms:created>
  <dcterms:modified xsi:type="dcterms:W3CDTF">2020-12-09T07:43:00Z</dcterms:modified>
</cp:coreProperties>
</file>